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ook w:val="00A0" w:firstRow="1" w:lastRow="0" w:firstColumn="1" w:lastColumn="0" w:noHBand="0" w:noVBand="0"/>
      </w:tblPr>
      <w:tblGrid>
        <w:gridCol w:w="1712"/>
        <w:gridCol w:w="9062"/>
      </w:tblGrid>
      <w:tr w:rsidR="00FB62A6">
        <w:tc>
          <w:tcPr>
            <w:tcW w:w="1712" w:type="dxa"/>
          </w:tcPr>
          <w:p w:rsidR="00FB62A6" w:rsidRDefault="00F11A6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caps/>
                <w:sz w:val="18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C726A15" wp14:editId="2C5C9C98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062" w:type="dxa"/>
            <w:vAlign w:val="center"/>
          </w:tcPr>
          <w:p w:rsidR="00FB62A6" w:rsidRDefault="00F11A6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FB62A6" w:rsidRDefault="00F11A6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FB62A6" w:rsidRDefault="00FB62A6"/>
    <w:p w:rsidR="00F30E53" w:rsidRDefault="00F30E53"/>
    <w:p w:rsidR="00F30E53" w:rsidRDefault="00F30E53"/>
    <w:p w:rsidR="00F30E53" w:rsidRDefault="00F30E53"/>
    <w:p w:rsidR="00F30E53" w:rsidRDefault="00F30E53"/>
    <w:p w:rsidR="00FB62A6" w:rsidRDefault="00FB62A6"/>
    <w:p w:rsidR="00FB62A6" w:rsidRDefault="00FB62A6"/>
    <w:p w:rsidR="00FB62A6" w:rsidRDefault="00FB62A6"/>
    <w:p w:rsidR="00FB62A6" w:rsidRDefault="00FB62A6"/>
    <w:p w:rsidR="00FB62A6" w:rsidRDefault="00F11A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r>
        <w:rPr>
          <w:rFonts w:ascii="Times New Roman" w:hAnsi="Times New Roman"/>
          <w:sz w:val="28"/>
          <w:szCs w:val="28"/>
        </w:rPr>
        <w:t>ПРОГРАММА</w:t>
      </w:r>
    </w:p>
    <w:p w:rsidR="00FB62A6" w:rsidRDefault="00F11A64">
      <w:pPr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28"/>
          <w:szCs w:val="28"/>
        </w:rPr>
        <w:t xml:space="preserve">ОП.03 Санитария и гигиена в сфере услуг </w:t>
      </w:r>
    </w:p>
    <w:p w:rsidR="00FB62A6" w:rsidRDefault="00F11A64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ППССЗ</w:t>
      </w:r>
    </w:p>
    <w:p w:rsidR="00FB62A6" w:rsidRDefault="00F11A64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43.02.17 Технология индустрии красоты </w:t>
      </w: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sz w:val="28"/>
          <w:szCs w:val="28"/>
        </w:rPr>
      </w:pPr>
    </w:p>
    <w:p w:rsidR="00FB62A6" w:rsidRDefault="00FB62A6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FB62A6" w:rsidRDefault="00F30E53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Челябинск, 2026</w:t>
      </w:r>
      <w:bookmarkStart w:id="0" w:name="_GoBack"/>
      <w:bookmarkEnd w:id="0"/>
    </w:p>
    <w:p w:rsidR="00FB62A6" w:rsidRDefault="00F11A6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</w:rPr>
        <w:br w:type="page" w:clear="all"/>
      </w: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FB62A6" w:rsidRDefault="00FB62A6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B62A6">
        <w:tc>
          <w:tcPr>
            <w:tcW w:w="7501" w:type="dxa"/>
          </w:tcPr>
          <w:p w:rsidR="00FB62A6" w:rsidRDefault="00F11A64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ПРИМЕРНОЙ РАБОЧЕЙ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FB62A6" w:rsidRDefault="00FB6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62A6">
        <w:tc>
          <w:tcPr>
            <w:tcW w:w="7501" w:type="dxa"/>
          </w:tcPr>
          <w:p w:rsidR="00FB62A6" w:rsidRDefault="00F11A64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B62A6" w:rsidRDefault="00F11A64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B62A6" w:rsidRDefault="00FB6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62A6">
        <w:tc>
          <w:tcPr>
            <w:tcW w:w="7501" w:type="dxa"/>
          </w:tcPr>
          <w:p w:rsidR="00FB62A6" w:rsidRDefault="00F11A64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B62A6" w:rsidRDefault="00FB62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B62A6" w:rsidRDefault="00FB6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B62A6" w:rsidRDefault="00F11A6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br w:type="page" w:clear="all"/>
      </w:r>
      <w:r>
        <w:rPr>
          <w:rFonts w:ascii="Times New Roman" w:hAnsi="Times New Roman"/>
          <w:b/>
        </w:rPr>
        <w:lastRenderedPageBreak/>
        <w:t xml:space="preserve">1. </w:t>
      </w:r>
      <w:r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ПРИМЕРНОЙ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br/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br/>
        <w:t>ОП.03 САНИТАРИЯ И ГИГИЕНА В СФЕРЕ УСЛУГ</w:t>
      </w:r>
    </w:p>
    <w:p w:rsidR="00FB62A6" w:rsidRDefault="00F11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</w:t>
      </w:r>
      <w:r>
        <w:rPr>
          <w:rFonts w:ascii="Times New Roman" w:hAnsi="Times New Roman"/>
          <w:b/>
          <w:sz w:val="24"/>
          <w:szCs w:val="24"/>
        </w:rPr>
        <w:t xml:space="preserve">вательной программы: </w:t>
      </w:r>
    </w:p>
    <w:p w:rsidR="00FB62A6" w:rsidRDefault="00F11A64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 учебной дисциплины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утвержденного Приказом Минпросвещения России от 26.08.2022 г. №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775</w:t>
      </w:r>
      <w:r>
        <w:rPr>
          <w:rFonts w:ascii="Times New Roman" w:hAnsi="Times New Roman"/>
          <w:sz w:val="24"/>
          <w:szCs w:val="24"/>
        </w:rPr>
        <w:t xml:space="preserve"> (ред.от 03.07.2024).</w:t>
      </w:r>
    </w:p>
    <w:p w:rsidR="00FB62A6" w:rsidRDefault="00F11A64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FB62A6" w:rsidRDefault="00FB6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62A6" w:rsidRDefault="00F11A6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B62A6" w:rsidRDefault="00F11A6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3633"/>
        <w:gridCol w:w="3217"/>
      </w:tblGrid>
      <w:tr w:rsidR="00FB62A6">
        <w:trPr>
          <w:trHeight w:val="649"/>
        </w:trPr>
        <w:tc>
          <w:tcPr>
            <w:tcW w:w="1574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1817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609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B62A6">
        <w:trPr>
          <w:trHeight w:val="649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санитарно-эпидемиологические требования при предоставлении визажных услуг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организовывать рабочее место;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санитарно-эпидемиологическое законодательство, регламентирующее профессиональную деятельность;</w:t>
            </w:r>
          </w:p>
        </w:tc>
      </w:tr>
      <w:tr w:rsidR="00FB62A6">
        <w:trPr>
          <w:trHeight w:val="649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санитарно-эпидемиологические требования при предоставлении парикмахерских услуг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соблюдать правила санитарии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гигиены, требования безопасности и охраны труда в сфере парикмахерских услуг;</w:t>
            </w:r>
          </w:p>
          <w:p w:rsidR="00FB62A6" w:rsidRDefault="00F11A64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применять средства индивидуальной защиты;</w:t>
            </w:r>
          </w:p>
          <w:p w:rsidR="00FB62A6" w:rsidRDefault="00FB6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санитарные нормы и требования безопасности и охраны труда в сфере парикмахерских услуг;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подготовки рабочего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рабочего пространства для выполнения парикмахерских услуг; </w:t>
            </w:r>
          </w:p>
        </w:tc>
      </w:tr>
      <w:tr w:rsidR="00FB62A6">
        <w:trPr>
          <w:trHeight w:val="212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FB62A6" w:rsidRDefault="00FB6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социальный контекст, в котором приходится работать и жить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оспорядок оценки результатов решения задач профессиональной деятельности</w:t>
            </w:r>
          </w:p>
        </w:tc>
      </w:tr>
      <w:tr w:rsidR="00FB62A6">
        <w:trPr>
          <w:trHeight w:val="212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ть практическую значимость результатов поиска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FB62A6" w:rsidRDefault="00FB6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2A6">
        <w:trPr>
          <w:trHeight w:val="212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ности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FB62A6" w:rsidRDefault="00FB6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2A6">
        <w:trPr>
          <w:trHeight w:val="212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br/>
              <w:t>и команды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FB62A6">
        <w:trPr>
          <w:trHeight w:val="212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излагать свои мысли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оформлять документы по профессиональной тематике на государственном язы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ке,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FB62A6">
        <w:trPr>
          <w:trHeight w:val="212"/>
        </w:trPr>
        <w:tc>
          <w:tcPr>
            <w:tcW w:w="1574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17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1609" w:type="pct"/>
          </w:tcPr>
          <w:p w:rsidR="00FB62A6" w:rsidRDefault="00F11A64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</w:tbl>
    <w:p w:rsidR="00FB62A6" w:rsidRDefault="00FB62A6">
      <w:pPr>
        <w:spacing w:after="240" w:line="240" w:lineRule="auto"/>
        <w:ind w:firstLine="709"/>
        <w:rPr>
          <w:rFonts w:ascii="Times New Roman" w:hAnsi="Times New Roman"/>
          <w:b/>
        </w:rPr>
      </w:pPr>
    </w:p>
    <w:p w:rsidR="00FB62A6" w:rsidRDefault="00F11A6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FB62A6" w:rsidRDefault="00F11A64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B62A6" w:rsidRDefault="00F11A64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43"/>
        <w:gridCol w:w="1853"/>
      </w:tblGrid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53</w:t>
            </w:r>
          </w:p>
        </w:tc>
      </w:tr>
      <w:tr w:rsidR="00FB62A6">
        <w:trPr>
          <w:trHeight w:val="710"/>
        </w:trPr>
        <w:tc>
          <w:tcPr>
            <w:tcW w:w="4073" w:type="pct"/>
            <w:vAlign w:val="center"/>
          </w:tcPr>
          <w:p w:rsidR="00FB62A6" w:rsidRDefault="00F11A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49</w:t>
            </w:r>
          </w:p>
        </w:tc>
      </w:tr>
      <w:tr w:rsidR="00FB62A6">
        <w:trPr>
          <w:trHeight w:val="490"/>
        </w:trPr>
        <w:tc>
          <w:tcPr>
            <w:tcW w:w="5000" w:type="pct"/>
            <w:gridSpan w:val="2"/>
            <w:vAlign w:val="center"/>
          </w:tcPr>
          <w:p w:rsidR="00FB62A6" w:rsidRDefault="00F11A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FB62A6">
        <w:trPr>
          <w:trHeight w:val="490"/>
        </w:trPr>
        <w:tc>
          <w:tcPr>
            <w:tcW w:w="4073" w:type="pct"/>
            <w:vAlign w:val="center"/>
          </w:tcPr>
          <w:p w:rsidR="00FB62A6" w:rsidRDefault="00F11A64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проводится в форме Экзамена</w:t>
            </w:r>
          </w:p>
        </w:tc>
        <w:tc>
          <w:tcPr>
            <w:tcW w:w="927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FB62A6" w:rsidRDefault="00FB62A6">
      <w:pPr>
        <w:rPr>
          <w:rFonts w:ascii="Times New Roman" w:hAnsi="Times New Roman"/>
          <w:b/>
          <w:sz w:val="24"/>
          <w:szCs w:val="24"/>
        </w:rPr>
      </w:pPr>
    </w:p>
    <w:p w:rsidR="00FB62A6" w:rsidRDefault="00FB62A6">
      <w:pPr>
        <w:rPr>
          <w:rFonts w:ascii="Times New Roman" w:hAnsi="Times New Roman"/>
          <w:b/>
          <w:sz w:val="24"/>
          <w:szCs w:val="24"/>
        </w:rPr>
      </w:pPr>
    </w:p>
    <w:p w:rsidR="00FB62A6" w:rsidRDefault="00FB62A6">
      <w:pPr>
        <w:rPr>
          <w:rFonts w:ascii="Times New Roman" w:hAnsi="Times New Roman"/>
          <w:b/>
        </w:rPr>
        <w:sectPr w:rsidR="00FB62A6">
          <w:pgSz w:w="11906" w:h="16838"/>
          <w:pgMar w:top="1134" w:right="850" w:bottom="284" w:left="1276" w:header="708" w:footer="708" w:gutter="0"/>
          <w:cols w:space="720"/>
          <w:docGrid w:linePitch="360"/>
        </w:sectPr>
      </w:pPr>
    </w:p>
    <w:p w:rsidR="00FB62A6" w:rsidRDefault="00F11A64">
      <w:pPr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  <w:gridCol w:w="856"/>
        <w:gridCol w:w="7126"/>
        <w:gridCol w:w="2234"/>
        <w:gridCol w:w="1621"/>
        <w:gridCol w:w="1777"/>
      </w:tblGrid>
      <w:tr w:rsidR="00FB62A6">
        <w:trPr>
          <w:trHeight w:val="20"/>
        </w:trPr>
        <w:tc>
          <w:tcPr>
            <w:tcW w:w="625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83" w:type="pct"/>
            <w:gridSpan w:val="3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1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Объем часов</w:t>
            </w:r>
          </w:p>
        </w:tc>
        <w:tc>
          <w:tcPr>
            <w:tcW w:w="571" w:type="pct"/>
            <w:vAlign w:val="center"/>
          </w:tcPr>
          <w:p w:rsidR="00FB62A6" w:rsidRDefault="00F11A6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Осваиваемые компетенции</w:t>
            </w:r>
          </w:p>
        </w:tc>
      </w:tr>
      <w:tr w:rsidR="00FB62A6">
        <w:trPr>
          <w:trHeight w:val="20"/>
        </w:trPr>
        <w:tc>
          <w:tcPr>
            <w:tcW w:w="625" w:type="pct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521" w:type="pct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3</w:t>
            </w:r>
          </w:p>
        </w:tc>
        <w:tc>
          <w:tcPr>
            <w:tcW w:w="571" w:type="pct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FB62A6">
        <w:trPr>
          <w:trHeight w:val="20"/>
        </w:trPr>
        <w:tc>
          <w:tcPr>
            <w:tcW w:w="3908" w:type="pct"/>
            <w:gridSpan w:val="4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 Обеспечение производственной санитарии и личной гигиены на рабочем месте</w:t>
            </w:r>
          </w:p>
        </w:tc>
        <w:tc>
          <w:tcPr>
            <w:tcW w:w="521" w:type="pct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571" w:type="pct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 Инфекционный контроль. Инфекционная безопасность</w:t>
            </w: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Определение понятия нозокомиальная инфекция (ВБИ).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Масштаб проблемы нозокомиальной инфекции, структура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передачи инфекции в учреждениях индустрии красоты. Факторы, влияющие на восприимчивость «хозяина» к инфекции.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Группы риска и резервуары возбудителей.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Резервуары возбудителей инфекции: руки персона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ла, инструменты, оборудование и т.д. </w:t>
            </w:r>
          </w:p>
        </w:tc>
        <w:tc>
          <w:tcPr>
            <w:tcW w:w="521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Инфекционный контроль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«санитарно-противоэпидемический режим».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Действующие нормативно-правовые документы, регламентирующие профилактику ВБИ, организационно-методические документы по инфекционному контролю и инфекционной безопасности: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ФЗ №323 «</w:t>
            </w:r>
            <w:r>
              <w:rPr>
                <w:rFonts w:ascii="Times New Roman" w:hAnsi="Times New Roman"/>
                <w:sz w:val="24"/>
                <w:szCs w:val="24"/>
              </w:rPr>
              <w:t>Об основах охраны здоровья граждан в Российской Федерации".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Санитарные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равила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уг"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Приказ </w:t>
            </w:r>
            <w:r>
              <w:rPr>
                <w:rFonts w:ascii="Times New Roman" w:hAnsi="Times New Roman"/>
                <w:sz w:val="24"/>
                <w:szCs w:val="24"/>
              </w:rPr>
              <w:t>№ 770 о введении в действие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отраслевого стандарта ост 42-21-2-85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"Стерилизация и дезинфекция изделий медицинского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назначения, методы, средства и режимы"</w:t>
            </w:r>
          </w:p>
        </w:tc>
        <w:tc>
          <w:tcPr>
            <w:tcW w:w="521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нормативных документов: СанПиН 2.1.2.2631-10.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Парикмахерские и косметические услуги; инструкция по охране труда для парикмахера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Универсальные меры профилактики нозокомиальной инфекции</w:t>
            </w:r>
          </w:p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Условия мытья рук. Уровни мытья рук. Техника мытья рук. Надевание перчаток. Снятие использованных перчаток. Правила сбора, хранения и удаления отходов на рабочем месте</w:t>
            </w:r>
          </w:p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Профилактика ВИЧ- инфекции</w:t>
            </w:r>
          </w:p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Профилактика профессиональных заражений.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Состав аптечки «Анти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-ВИЧ».</w:t>
            </w:r>
            <w:r>
              <w:rPr>
                <w:rFonts w:ascii="Times New Roman" w:eastAsia="Nimbus Sans L" w:hAnsi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Действия мастера при аварийных ситуациях.</w:t>
            </w:r>
            <w:r>
              <w:rPr>
                <w:rFonts w:ascii="Times New Roman" w:eastAsia="Nimbus Sans L" w:hAnsi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Меры профилактики при случайных попаданиях биологических жидкостей на кожу и слизистые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6-7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профессиональных заражений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Дезинфекция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понятия дезинфекция. Виды и методы дезинфекции. Общие требования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к дезинфекционному режиму. </w:t>
            </w:r>
            <w:r>
              <w:rPr>
                <w:rFonts w:ascii="Times New Roman" w:hAnsi="Times New Roman"/>
                <w:sz w:val="24"/>
                <w:szCs w:val="24"/>
              </w:rPr>
              <w:t>Документы, регламентирующие методы и режимы дезинфекции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Дезинфекция инструментов, приспособлений, оборудования и белья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Химические дезинфицирующие средства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современных средств дезинфекции. Меры предосторожности при работе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с дезинфицирующими средствами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12-15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Дезинфекция инструментов, приспособлений, оборудования и белья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Предстерилизационная очистка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понятия предстерилизационная очистка (ПСО). Этапы предстерилизационной очистки. Моющие растворы для проведения предстерилизационной очистки, их приготовление, критерии использования. Дезинфицирующие средства, применяемые для ПСО. Контроль качес</w:t>
            </w:r>
            <w:r>
              <w:rPr>
                <w:rFonts w:ascii="Times New Roman" w:hAnsi="Times New Roman"/>
                <w:sz w:val="24"/>
                <w:szCs w:val="24"/>
              </w:rPr>
              <w:t>тва предстерилизационной очистки. Документы, регламентирующие проведение ПСО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17-20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Предстерилизационная очистка инструментов, приспособлений и белья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Стерилизация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понятия стерилизация. Методы и режимы стерилизации. Стерилизаторы: паровой, воздушный, газовый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22-23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Стерилизация инструментов, приспособлений и белья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качества стерилизации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Упаковочный материал для стерилизации. Методы контроля качества стерилизации (химический, физический и бактериологический). Сроки сохранения стерильности инструментов. </w:t>
            </w:r>
            <w:r>
              <w:rPr>
                <w:rFonts w:ascii="Times New Roman" w:hAnsi="Times New Roman"/>
                <w:sz w:val="24"/>
                <w:szCs w:val="24"/>
              </w:rPr>
              <w:t>Документы, регламентирующие методы и режимы стерилизации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25-26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контроля качества стерилизации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1.2. Гигиенические основы в сфере услуг</w:t>
            </w: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Гиги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енические требования к мастеру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рабочей одежде и обуви мастера. Личная гигиена мастера, внешний вид.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обработке рук мастера, уход за руками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28-29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 «Требования к состоянию здоровья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исполнителей услуг»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Гигиенические требования к клиенту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Личная гигиена клиента. Требования, предъявляемые клиенту, при оказании </w:t>
            </w:r>
            <w:r>
              <w:rPr>
                <w:rFonts w:ascii="Times New Roman" w:hAnsi="Times New Roman"/>
                <w:sz w:val="24"/>
                <w:szCs w:val="24"/>
              </w:rPr>
              <w:t>услуг в сфере индустрии красоты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31-32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 «Требования к состоянию здоровья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клиента»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Гигиенические требования к помещению и инвентарю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температурному режиму, освещенности, вентиляции. Стандарт оснащения кабинета для оказания услуг в сфере красоты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34-35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 «Требования к помещению и инвентарю»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3908" w:type="pct"/>
            <w:gridSpan w:val="4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Оказание первой помощи при неотложных состояниях</w:t>
            </w:r>
          </w:p>
        </w:tc>
        <w:tc>
          <w:tcPr>
            <w:tcW w:w="521" w:type="pct"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1" w:type="pct"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2.1. Неотложные состояния, первая помощь</w:t>
            </w:r>
          </w:p>
          <w:p w:rsidR="00FB62A6" w:rsidRDefault="00FB62A6">
            <w:pPr>
              <w:spacing w:after="0" w:line="240" w:lineRule="auto"/>
            </w:pPr>
          </w:p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3008" w:type="pct"/>
            <w:gridSpan w:val="2"/>
            <w:vAlign w:val="bottom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Первая помощь при обмороке, коллапсе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Основные причины острой сосудистой недостаточности (обморока, коллапса).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Диагностические признаки обморока, коллапса.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Основные принципы оказания первой помощи при острой сосудистой недостаточности.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37-38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Оказание первой помощи при обмороке, коллапсе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ОК 01–05, 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Cs/>
              </w:rPr>
              <w:t>ОК 07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3008" w:type="pct"/>
            <w:gridSpan w:val="2"/>
            <w:vAlign w:val="bottom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Первая помощь при травмах и кровотечениях, при поражении электрическим током, ожогах</w:t>
            </w: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Диагностические признаки травм (порезы, ушибы, растяжения). Основные принципы оказания первой помощи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 кровотечении.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кровотечений. Признаки артериального, венозного, капиллярного, паренхиматозного кровотечений. Симптомы кровопотери.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остановки кровотечений </w:t>
            </w: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признаки поражения электрическим током и ожогов.</w:t>
            </w: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ожогов.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Основные принципы оказания первой помощи при поражении электрическим током и ожогах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53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</w:p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</w:p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40-43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Оказание первой помощи при кровотечениях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44-47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Оказание первой помощи при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поражении электрическим током, ожогах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48-49</w:t>
            </w:r>
          </w:p>
        </w:tc>
        <w:tc>
          <w:tcPr>
            <w:tcW w:w="3008" w:type="pct"/>
            <w:gridSpan w:val="2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Оказание первой помощи при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травмах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625" w:type="pct"/>
            <w:vMerge w:val="restart"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521" w:type="pct"/>
            <w:vMerge w:val="restar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  <w:vMerge w:val="restar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ПК 1.7</w:t>
            </w:r>
          </w:p>
        </w:tc>
      </w:tr>
      <w:tr w:rsidR="00FB62A6">
        <w:trPr>
          <w:trHeight w:val="20"/>
        </w:trPr>
        <w:tc>
          <w:tcPr>
            <w:tcW w:w="625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83" w:type="pct"/>
            <w:gridSpan w:val="3"/>
          </w:tcPr>
          <w:p w:rsidR="00FB62A6" w:rsidRDefault="00F11A64">
            <w:pPr>
              <w:spacing w:after="0"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Профессиональные вредности и опасности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индустрии красоты</w:t>
            </w:r>
          </w:p>
        </w:tc>
        <w:tc>
          <w:tcPr>
            <w:tcW w:w="521" w:type="pct"/>
            <w:vMerge/>
            <w:vAlign w:val="center"/>
          </w:tcPr>
          <w:p w:rsidR="00FB62A6" w:rsidRDefault="00FB62A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571" w:type="pct"/>
            <w:vMerge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FB62A6">
        <w:trPr>
          <w:trHeight w:val="20"/>
        </w:trPr>
        <w:tc>
          <w:tcPr>
            <w:tcW w:w="3908" w:type="pct"/>
            <w:gridSpan w:val="4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521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571" w:type="pct"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B62A6">
        <w:trPr>
          <w:trHeight w:val="20"/>
        </w:trPr>
        <w:tc>
          <w:tcPr>
            <w:tcW w:w="3190" w:type="pct"/>
            <w:gridSpan w:val="3"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8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21" w:type="pct"/>
            <w:vAlign w:val="center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571" w:type="pct"/>
          </w:tcPr>
          <w:p w:rsidR="00FB62A6" w:rsidRDefault="00FB62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FB62A6" w:rsidRDefault="00FB62A6">
      <w:pPr>
        <w:ind w:firstLine="709"/>
        <w:rPr>
          <w:rFonts w:ascii="Times New Roman" w:hAnsi="Times New Roman"/>
        </w:rPr>
        <w:sectPr w:rsidR="00FB62A6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FB62A6" w:rsidRDefault="00F11A64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3. УСЛОВИЯ РЕАЛИЗАЦИИ УЧЕБНОЙ ДИСЦИПЛИНЫ</w:t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учебной дисциплины  предусмотрено </w:t>
      </w:r>
      <w:r>
        <w:rPr>
          <w:rFonts w:ascii="Times New Roman" w:hAnsi="Times New Roman"/>
          <w:b/>
          <w:sz w:val="24"/>
          <w:szCs w:val="24"/>
        </w:rPr>
        <w:t xml:space="preserve">наличие учебного  кабинета </w:t>
      </w:r>
      <w:r>
        <w:rPr>
          <w:rFonts w:ascii="Times New Roman" w:hAnsi="Times New Roman"/>
          <w:b/>
          <w:bCs/>
          <w:sz w:val="24"/>
          <w:szCs w:val="24"/>
        </w:rPr>
        <w:t xml:space="preserve">Кабинет «Медико-биологических дисциплин», </w:t>
      </w:r>
      <w:r>
        <w:rPr>
          <w:rFonts w:ascii="Times New Roman" w:hAnsi="Times New Roman"/>
          <w:b/>
          <w:sz w:val="24"/>
          <w:szCs w:val="24"/>
        </w:rPr>
        <w:t>оснащенного о</w:t>
      </w:r>
      <w:r>
        <w:rPr>
          <w:rFonts w:ascii="Times New Roman" w:hAnsi="Times New Roman"/>
          <w:b/>
          <w:bCs/>
          <w:sz w:val="24"/>
          <w:szCs w:val="24"/>
        </w:rPr>
        <w:t xml:space="preserve">борудованием: </w:t>
      </w:r>
    </w:p>
    <w:p w:rsidR="00FB62A6" w:rsidRDefault="00F11A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Специализированная мебель и системы хранения</w:t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>посадочные места по количеству обучающихся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  <w:t>рабочее место преподавателя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  <w:t>доска учебная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Технические средства</w:t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 xml:space="preserve">видеооборудование (мультимедийный проектор с экраном или телевизор, или </w:t>
      </w:r>
      <w:r>
        <w:rPr>
          <w:rFonts w:ascii="Times New Roman" w:hAnsi="Times New Roman"/>
          <w:sz w:val="24"/>
          <w:szCs w:val="24"/>
        </w:rPr>
        <w:t>плазменная панель)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  <w:t>программное обеспечение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  <w:t>компьютеры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  <w:t>магнитная доска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Демонстрационные учебно-наглядные пособия</w:t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>дидактические пособия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11A64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  <w:t>видеофильмы по различным темам</w:t>
      </w:r>
      <w:r>
        <w:rPr>
          <w:rFonts w:ascii="Times New Roman" w:hAnsi="Times New Roman"/>
          <w:sz w:val="24"/>
          <w:szCs w:val="24"/>
        </w:rPr>
        <w:tab/>
      </w:r>
    </w:p>
    <w:p w:rsidR="00FB62A6" w:rsidRDefault="00FB62A6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62A6" w:rsidRDefault="00F11A64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B62A6" w:rsidRDefault="00F11A6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</w:t>
      </w:r>
      <w:r>
        <w:rPr>
          <w:rFonts w:ascii="Times New Roman" w:hAnsi="Times New Roman"/>
          <w:bCs/>
          <w:sz w:val="24"/>
          <w:szCs w:val="24"/>
        </w:rPr>
        <w:t>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B62A6" w:rsidRDefault="00FB62A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62A6" w:rsidRDefault="00F11A6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FB62A6" w:rsidRDefault="00F11A6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Обуховец, Т.П., Сестринское дело </w:t>
      </w:r>
      <w:r>
        <w:rPr>
          <w:rFonts w:ascii="Times New Roman" w:hAnsi="Times New Roman"/>
          <w:bCs/>
          <w:sz w:val="24"/>
          <w:szCs w:val="24"/>
        </w:rPr>
        <w:t>и сестринский уход.: учебное пособие / Т.П. Обуховец. - Москва: КноРус, 2020. - 680 с.</w:t>
      </w:r>
      <w:r>
        <w:rPr>
          <w:sz w:val="24"/>
          <w:szCs w:val="24"/>
        </w:rPr>
        <w:t xml:space="preserve"> </w:t>
      </w:r>
    </w:p>
    <w:p w:rsidR="00FB62A6" w:rsidRDefault="00FB62A6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B62A6" w:rsidRDefault="00F11A64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FB62A6" w:rsidRDefault="00F11A64">
      <w:pPr>
        <w:pStyle w:val="af2"/>
        <w:spacing w:line="276" w:lineRule="auto"/>
        <w:ind w:firstLine="709"/>
        <w:jc w:val="both"/>
        <w:rPr>
          <w:rFonts w:cs="Calibri"/>
          <w:lang w:val="ru-RU"/>
        </w:rPr>
      </w:pPr>
      <w:r>
        <w:rPr>
          <w:lang w:val="ru-RU"/>
        </w:rPr>
        <w:t>1</w:t>
      </w:r>
      <w:r>
        <w:rPr>
          <w:b/>
          <w:lang w:val="ru-RU"/>
        </w:rPr>
        <w:t>.</w:t>
      </w:r>
      <w:r>
        <w:rPr>
          <w:rFonts w:cs="Calibri"/>
          <w:lang w:val="ru-RU"/>
        </w:rPr>
        <w:t xml:space="preserve"> Обуховец, Т.П., Сестринское дело и сестринский уход.: учебное пособие / Т.П. Обуховец. - Москва: КноРус, 2020. - 680 с. - </w:t>
      </w:r>
      <w:r>
        <w:rPr>
          <w:rFonts w:cs="Calibri"/>
        </w:rPr>
        <w:t>ISBN</w:t>
      </w:r>
      <w:r>
        <w:rPr>
          <w:rFonts w:cs="Calibri"/>
          <w:lang w:val="ru-RU"/>
        </w:rPr>
        <w:t xml:space="preserve"> </w:t>
      </w:r>
      <w:r>
        <w:rPr>
          <w:rFonts w:cs="Calibri"/>
          <w:lang w:val="ru-RU"/>
        </w:rPr>
        <w:t xml:space="preserve">978-5-406-01448-6. - </w:t>
      </w:r>
      <w:hyperlink r:id="rId10" w:tooltip="URL:https://book.ru/book/936784" w:history="1">
        <w:r>
          <w:rPr>
            <w:rStyle w:val="af7"/>
            <w:rFonts w:cs="Calibri"/>
          </w:rPr>
          <w:t>URL</w:t>
        </w:r>
        <w:r>
          <w:rPr>
            <w:rStyle w:val="af7"/>
            <w:rFonts w:cs="Calibri"/>
            <w:lang w:val="ru-RU"/>
          </w:rPr>
          <w:t>:</w:t>
        </w:r>
        <w:r>
          <w:rPr>
            <w:rStyle w:val="af7"/>
            <w:rFonts w:cs="Calibri"/>
          </w:rPr>
          <w:t>https</w:t>
        </w:r>
        <w:r>
          <w:rPr>
            <w:rStyle w:val="af7"/>
            <w:rFonts w:cs="Calibri"/>
            <w:lang w:val="ru-RU"/>
          </w:rPr>
          <w:t>://</w:t>
        </w:r>
        <w:r>
          <w:rPr>
            <w:rStyle w:val="af7"/>
            <w:rFonts w:cs="Calibri"/>
          </w:rPr>
          <w:t>book</w:t>
        </w:r>
        <w:r>
          <w:rPr>
            <w:rStyle w:val="af7"/>
            <w:rFonts w:cs="Calibri"/>
            <w:lang w:val="ru-RU"/>
          </w:rPr>
          <w:t>.</w:t>
        </w:r>
        <w:r>
          <w:rPr>
            <w:rStyle w:val="af7"/>
            <w:rFonts w:cs="Calibri"/>
          </w:rPr>
          <w:t>ru</w:t>
        </w:r>
        <w:r>
          <w:rPr>
            <w:rStyle w:val="af7"/>
            <w:rFonts w:cs="Calibri"/>
            <w:lang w:val="ru-RU"/>
          </w:rPr>
          <w:t>/</w:t>
        </w:r>
        <w:r>
          <w:rPr>
            <w:rStyle w:val="af7"/>
            <w:rFonts w:cs="Calibri"/>
          </w:rPr>
          <w:t>book</w:t>
        </w:r>
        <w:r>
          <w:rPr>
            <w:rStyle w:val="af7"/>
            <w:rFonts w:cs="Calibri"/>
            <w:lang w:val="ru-RU"/>
          </w:rPr>
          <w:t>/936784</w:t>
        </w:r>
      </w:hyperlink>
    </w:p>
    <w:p w:rsidR="00FB62A6" w:rsidRDefault="00F11A64">
      <w:pPr>
        <w:pStyle w:val="af2"/>
        <w:spacing w:line="276" w:lineRule="auto"/>
        <w:ind w:firstLine="709"/>
        <w:jc w:val="both"/>
        <w:rPr>
          <w:rFonts w:cs="Calibri"/>
          <w:lang w:val="ru-RU"/>
        </w:rPr>
      </w:pPr>
      <w:r>
        <w:rPr>
          <w:rFonts w:cs="Calibri"/>
          <w:lang w:val="ru-RU"/>
        </w:rPr>
        <w:t>2. Костюкова, Э. О. Сестринское дело в косметологии. Практикум: учебное пособие для спо / Э. О. Костюкова, О. О. Симон</w:t>
      </w:r>
      <w:r>
        <w:rPr>
          <w:rFonts w:cs="Calibri"/>
          <w:lang w:val="ru-RU"/>
        </w:rPr>
        <w:t>ова. — 3-е стер. — Санкт-Петербург: Лань, 2021. — 124 с. — ISBN 978-5-8114-8674-8. — Текст: электронный // Лань: электронно-библиотечная система. — URL: https://e.lanbook.com/book/179157 (дата обращения: 03.04.2022). — Режим доступа: для авториз. пользоват</w:t>
      </w:r>
      <w:r>
        <w:rPr>
          <w:rFonts w:cs="Calibri"/>
          <w:lang w:val="ru-RU"/>
        </w:rPr>
        <w:t>елей.</w:t>
      </w:r>
    </w:p>
    <w:p w:rsidR="00FB62A6" w:rsidRDefault="00F11A64">
      <w:pPr>
        <w:pStyle w:val="af2"/>
        <w:spacing w:line="276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3. Сорокина, В. К. Сестринское дело в косметологии: учебное пособие для спо / В. К. Сорокина. — 4-е изд., стер. — Санкт-Петербург: Лань, 2022. — 448 с. — ISBN 978-5-8114-9891-8. — Текст: электронный // Лань: электронно-библиотечная система. — URL: </w:t>
      </w:r>
      <w:hyperlink r:id="rId11" w:tooltip="https://e.lanbook.com/book/201620" w:history="1">
        <w:r>
          <w:rPr>
            <w:rStyle w:val="af7"/>
            <w:lang w:val="ru-RU"/>
          </w:rPr>
          <w:t>https://e.lanbook.com/book/201620</w:t>
        </w:r>
      </w:hyperlink>
      <w:r>
        <w:rPr>
          <w:lang w:val="ru-RU"/>
        </w:rPr>
        <w:t xml:space="preserve"> .</w:t>
      </w:r>
    </w:p>
    <w:p w:rsidR="00FB62A6" w:rsidRDefault="00FB62A6">
      <w:pPr>
        <w:pStyle w:val="af2"/>
        <w:spacing w:line="276" w:lineRule="auto"/>
        <w:ind w:firstLine="709"/>
        <w:jc w:val="both"/>
        <w:rPr>
          <w:lang w:val="ru-RU"/>
        </w:rPr>
      </w:pPr>
    </w:p>
    <w:p w:rsidR="00FB62A6" w:rsidRDefault="00FB62A6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62A6" w:rsidRDefault="00F11A64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FB62A6" w:rsidRDefault="00F11A6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Сбойчаков</w:t>
      </w:r>
      <w:r>
        <w:rPr>
          <w:rFonts w:ascii="Times New Roman" w:hAnsi="Times New Roman"/>
          <w:sz w:val="24"/>
          <w:szCs w:val="24"/>
        </w:rPr>
        <w:t xml:space="preserve">, В.Б., Основы микробиологии, вирусологии, иммунологии (для специалистов в сфере прикладной эстетики).: учебник / В.Б. Сбойчаков. - Москва: КноРус, 2020. - 279 с. - ISBN 978-5-406-07077-2. - </w:t>
      </w:r>
      <w:hyperlink r:id="rId12" w:tooltip="URL:https://book.ru/book/933696" w:history="1">
        <w:r>
          <w:rPr>
            <w:rStyle w:val="af7"/>
            <w:sz w:val="24"/>
            <w:szCs w:val="24"/>
          </w:rPr>
          <w:t>URL:https://book.ru/book/933696</w:t>
        </w:r>
      </w:hyperlink>
    </w:p>
    <w:p w:rsidR="00FB62A6" w:rsidRDefault="00F11A64">
      <w:pPr>
        <w:pStyle w:val="12"/>
        <w:spacing w:before="0" w:after="0" w:line="276" w:lineRule="auto"/>
        <w:ind w:left="0" w:firstLine="709"/>
        <w:contextualSpacing/>
        <w:jc w:val="both"/>
        <w:rPr>
          <w:b/>
        </w:rPr>
      </w:pPr>
      <w:r>
        <w:t>2. Щербакова Л.П. Санитария и гигиена для парикмахеров учебник / Л.П.Щербакова.- М.: Академия, 2017</w:t>
      </w:r>
    </w:p>
    <w:p w:rsidR="00FB62A6" w:rsidRDefault="00F11A6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Сестринское дело в косметологии. Практикум: Учебное пособие. - 2е изд., испр. и доп. - СПб.: </w:t>
      </w:r>
      <w:r>
        <w:rPr>
          <w:rFonts w:ascii="Times New Roman" w:hAnsi="Times New Roman"/>
          <w:sz w:val="24"/>
          <w:szCs w:val="24"/>
        </w:rPr>
        <w:t xml:space="preserve">Издательство «Лань», 2017. - 120 с. </w:t>
      </w:r>
    </w:p>
    <w:p w:rsidR="00FB62A6" w:rsidRDefault="00FB62A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2A6" w:rsidRDefault="00F11A64">
      <w:pPr>
        <w:tabs>
          <w:tab w:val="left" w:pos="567"/>
        </w:tabs>
        <w:spacing w:after="0" w:line="240" w:lineRule="auto"/>
        <w:ind w:left="1183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3.3. Кадровое обеспечение образовательного процесса </w:t>
      </w:r>
    </w:p>
    <w:p w:rsidR="00FB62A6" w:rsidRDefault="00FB62A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FB62A6" w:rsidRDefault="00F11A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</w:t>
      </w:r>
      <w:r>
        <w:rPr>
          <w:rFonts w:ascii="Times New Roman" w:hAnsi="Times New Roman"/>
          <w:sz w:val="24"/>
          <w:szCs w:val="28"/>
        </w:rPr>
        <w:t xml:space="preserve">ионального стандарта, а также лицами, привлекаемыми на условиях гражданско-правового договора, в том числе из лица руководителей и работников организаций, направление деятельности которых соответствует  области профессиональной деятельности и имеющих стаж </w:t>
      </w:r>
      <w:r>
        <w:rPr>
          <w:rFonts w:ascii="Times New Roman" w:hAnsi="Times New Roman"/>
          <w:sz w:val="24"/>
          <w:szCs w:val="28"/>
        </w:rPr>
        <w:t>не менее 3 лет.</w:t>
      </w:r>
    </w:p>
    <w:p w:rsidR="00FB62A6" w:rsidRDefault="00F11A64">
      <w:pPr>
        <w:spacing w:after="0" w:line="240" w:lineRule="auto"/>
        <w:ind w:firstLine="708"/>
        <w:jc w:val="both"/>
        <w:rPr>
          <w:rFonts w:ascii="Times New Roman" w:eastAsia="Courier New" w:hAnsi="Times New Roman" w:cs="Symbol"/>
          <w:sz w:val="24"/>
          <w:szCs w:val="28"/>
          <w:lang w:bidi="hi-IN"/>
        </w:rPr>
      </w:pPr>
      <w:r>
        <w:rPr>
          <w:rFonts w:ascii="Times New Roman" w:eastAsia="Courier New" w:hAnsi="Times New Roman" w:cs="Symbol"/>
          <w:sz w:val="24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>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>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FB62A6" w:rsidRDefault="00FB62A6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FB62A6" w:rsidRDefault="00FB62A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2A6" w:rsidRDefault="00FB62A6">
      <w:pPr>
        <w:pStyle w:val="12"/>
        <w:spacing w:before="0" w:after="0" w:line="276" w:lineRule="auto"/>
        <w:ind w:left="720"/>
        <w:contextualSpacing/>
        <w:jc w:val="both"/>
        <w:rPr>
          <w:b/>
        </w:rPr>
      </w:pPr>
    </w:p>
    <w:p w:rsidR="00FB62A6" w:rsidRDefault="00F11A6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4"/>
          <w:szCs w:val="24"/>
        </w:rPr>
        <w:br/>
        <w:t>УЧЕБНОЙ ДИСЦИПЛИНЫ</w:t>
      </w:r>
    </w:p>
    <w:p w:rsidR="00FB62A6" w:rsidRDefault="00FB62A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9"/>
        <w:gridCol w:w="2229"/>
        <w:gridCol w:w="4167"/>
      </w:tblGrid>
      <w:tr w:rsidR="00FB62A6">
        <w:tc>
          <w:tcPr>
            <w:tcW w:w="1657" w:type="pct"/>
          </w:tcPr>
          <w:p w:rsidR="00FB62A6" w:rsidRDefault="00F11A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bCs/>
                <w:i/>
              </w:rPr>
              <w:t>Результаты обучения</w:t>
            </w:r>
            <w:r>
              <w:rPr>
                <w:rFonts w:ascii="Times New Roman" w:eastAsia="Batang" w:hAnsi="Times New Roman"/>
              </w:rPr>
              <w:t xml:space="preserve"> 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/>
                <w:b/>
                <w:bCs/>
                <w:i/>
              </w:rPr>
            </w:pPr>
            <w:r>
              <w:rPr>
                <w:rFonts w:ascii="Times New Roman" w:eastAsia="Batang" w:hAnsi="Times New Roman"/>
                <w:b/>
                <w:bCs/>
                <w:i/>
              </w:rPr>
              <w:t>Типы оценочных мероприятий</w:t>
            </w: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/>
                <w:b/>
                <w:bCs/>
                <w:i/>
              </w:rPr>
            </w:pPr>
            <w:r>
              <w:rPr>
                <w:rFonts w:ascii="Times New Roman" w:eastAsia="Batang" w:hAnsi="Times New Roman"/>
                <w:b/>
                <w:bCs/>
                <w:i/>
              </w:rPr>
              <w:t>Методы и формы оценки</w:t>
            </w:r>
          </w:p>
        </w:tc>
      </w:tr>
      <w:tr w:rsidR="00FB62A6"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санитарно-эпидемиологические требования при предоставлении визажных услуг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/>
                <w:bCs/>
                <w:iCs/>
              </w:rPr>
            </w:pPr>
            <w:r>
              <w:rPr>
                <w:rFonts w:ascii="Times New Roman" w:eastAsia="Batang" w:hAnsi="Times New Roman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  <w:r>
              <w:rPr>
                <w:rFonts w:ascii="Times New Roman" w:eastAsia="Batang" w:hAnsi="Times New Roman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</w:t>
            </w:r>
          </w:p>
          <w:p w:rsidR="00FB62A6" w:rsidRDefault="00F11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санитарно-эпидемиологические требования при предоставлении парикмахерских услуг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/>
                <w:bCs/>
                <w:iCs/>
              </w:rPr>
            </w:pPr>
            <w:r>
              <w:rPr>
                <w:rFonts w:ascii="Times New Roman" w:eastAsia="Batang" w:hAnsi="Times New Roman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/>
                <w:bCs/>
                <w:iCs/>
              </w:rPr>
            </w:pPr>
            <w:r>
              <w:rPr>
                <w:rFonts w:ascii="Times New Roman" w:eastAsia="Batang" w:hAnsi="Times New Roman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rPr>
                <w:rFonts w:ascii="Times New Roman" w:eastAsia="Batang" w:hAnsi="Times New Roman"/>
                <w:bCs/>
                <w:i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01. Выбирать способы решения задач профессиона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льной деятельности применительно к различным контекстам</w:t>
            </w:r>
          </w:p>
          <w:p w:rsidR="00FB62A6" w:rsidRDefault="00FB6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  <w:tr w:rsidR="00FB62A6">
        <w:trPr>
          <w:trHeight w:val="896"/>
        </w:trPr>
        <w:tc>
          <w:tcPr>
            <w:tcW w:w="1657" w:type="pct"/>
          </w:tcPr>
          <w:p w:rsidR="00FB62A6" w:rsidRDefault="00F11A6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65" w:type="pct"/>
          </w:tcPr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Текущий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</w:rPr>
            </w:pPr>
          </w:p>
          <w:p w:rsidR="00FB62A6" w:rsidRDefault="00F11A64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</w:rPr>
            </w:pPr>
            <w:r>
              <w:rPr>
                <w:rFonts w:ascii="Times New Roman" w:eastAsia="Batang" w:hAnsi="Times New Roman" w:cs="Batang"/>
                <w:bCs/>
                <w:iCs/>
              </w:rPr>
              <w:t xml:space="preserve">Итоговый контроль </w:t>
            </w: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</w:rPr>
            </w:pPr>
          </w:p>
          <w:p w:rsidR="00FB62A6" w:rsidRDefault="00FB62A6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</w:rPr>
            </w:pPr>
          </w:p>
        </w:tc>
        <w:tc>
          <w:tcPr>
            <w:tcW w:w="2178" w:type="pct"/>
          </w:tcPr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Текущий контроль: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устн</w:t>
            </w:r>
            <w:r>
              <w:rPr>
                <w:rFonts w:ascii="Times New Roman" w:eastAsia="Batang" w:hAnsi="Times New Roman" w:cs="Batang"/>
                <w:bCs/>
              </w:rPr>
              <w:t>ый опрос;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наблюдение;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Cs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внеаудиторной самостоятельной работы</w:t>
            </w:r>
          </w:p>
          <w:p w:rsidR="00FB62A6" w:rsidRDefault="00F11A64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</w:rPr>
            </w:pPr>
            <w:r>
              <w:rPr>
                <w:rFonts w:ascii="Times New Roman" w:eastAsia="Batang" w:hAnsi="Times New Roman" w:cs="Batang"/>
                <w:b/>
                <w:bCs/>
              </w:rPr>
              <w:t>Итоговый контроль:</w:t>
            </w:r>
          </w:p>
          <w:p w:rsidR="00FB62A6" w:rsidRDefault="00F11A64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Batang"/>
                <w:bCs/>
              </w:rPr>
              <w:t>- выполнение зачетного  задания  в рамках промежуточной аттестации</w:t>
            </w:r>
          </w:p>
        </w:tc>
      </w:tr>
    </w:tbl>
    <w:p w:rsidR="00FB62A6" w:rsidRDefault="00FB62A6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FB62A6" w:rsidRDefault="00FB62A6">
      <w:pPr>
        <w:pStyle w:val="afc"/>
        <w:rPr>
          <w:rFonts w:ascii="Times New Roman" w:hAnsi="Times New Roman"/>
          <w:b/>
          <w:sz w:val="24"/>
          <w:szCs w:val="24"/>
        </w:rPr>
      </w:pPr>
    </w:p>
    <w:p w:rsidR="00FB62A6" w:rsidRDefault="00FB62A6">
      <w:pPr>
        <w:pStyle w:val="afc"/>
        <w:rPr>
          <w:rFonts w:ascii="Times New Roman" w:hAnsi="Times New Roman"/>
          <w:b/>
          <w:sz w:val="24"/>
          <w:szCs w:val="24"/>
        </w:rPr>
      </w:pPr>
    </w:p>
    <w:p w:rsidR="00FB62A6" w:rsidRDefault="00FB62A6"/>
    <w:sectPr w:rsidR="00FB62A6">
      <w:pgSz w:w="11900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64" w:rsidRDefault="00F11A64">
      <w:pPr>
        <w:spacing w:after="0" w:line="240" w:lineRule="auto"/>
      </w:pPr>
      <w:r>
        <w:separator/>
      </w:r>
    </w:p>
  </w:endnote>
  <w:endnote w:type="continuationSeparator" w:id="0">
    <w:p w:rsidR="00F11A64" w:rsidRDefault="00F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imbus Sans 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64" w:rsidRDefault="00F11A64">
      <w:pPr>
        <w:spacing w:after="0" w:line="240" w:lineRule="auto"/>
      </w:pPr>
      <w:r>
        <w:separator/>
      </w:r>
    </w:p>
  </w:footnote>
  <w:footnote w:type="continuationSeparator" w:id="0">
    <w:p w:rsidR="00F11A64" w:rsidRDefault="00F11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5142"/>
    <w:multiLevelType w:val="hybridMultilevel"/>
    <w:tmpl w:val="2550C552"/>
    <w:lvl w:ilvl="0" w:tplc="67221D14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E3862C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64A17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C725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A4C1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EECF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1743A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66A54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C0CEE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8F3BCC"/>
    <w:multiLevelType w:val="hybridMultilevel"/>
    <w:tmpl w:val="99664A9A"/>
    <w:lvl w:ilvl="0" w:tplc="72A47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3E2F72">
      <w:start w:val="1"/>
      <w:numFmt w:val="lowerLetter"/>
      <w:lvlText w:val="%2."/>
      <w:lvlJc w:val="left"/>
      <w:pPr>
        <w:ind w:left="1440" w:hanging="360"/>
      </w:pPr>
    </w:lvl>
    <w:lvl w:ilvl="2" w:tplc="77C2E03E">
      <w:start w:val="1"/>
      <w:numFmt w:val="lowerRoman"/>
      <w:lvlText w:val="%3."/>
      <w:lvlJc w:val="right"/>
      <w:pPr>
        <w:ind w:left="2160" w:hanging="180"/>
      </w:pPr>
    </w:lvl>
    <w:lvl w:ilvl="3" w:tplc="6D944C62">
      <w:start w:val="1"/>
      <w:numFmt w:val="decimal"/>
      <w:lvlText w:val="%4."/>
      <w:lvlJc w:val="left"/>
      <w:pPr>
        <w:ind w:left="2880" w:hanging="360"/>
      </w:pPr>
    </w:lvl>
    <w:lvl w:ilvl="4" w:tplc="DB365CC0">
      <w:start w:val="1"/>
      <w:numFmt w:val="lowerLetter"/>
      <w:lvlText w:val="%5."/>
      <w:lvlJc w:val="left"/>
      <w:pPr>
        <w:ind w:left="3600" w:hanging="360"/>
      </w:pPr>
    </w:lvl>
    <w:lvl w:ilvl="5" w:tplc="AB4E7750">
      <w:start w:val="1"/>
      <w:numFmt w:val="lowerRoman"/>
      <w:lvlText w:val="%6."/>
      <w:lvlJc w:val="right"/>
      <w:pPr>
        <w:ind w:left="4320" w:hanging="180"/>
      </w:pPr>
    </w:lvl>
    <w:lvl w:ilvl="6" w:tplc="D278E512">
      <w:start w:val="1"/>
      <w:numFmt w:val="decimal"/>
      <w:lvlText w:val="%7."/>
      <w:lvlJc w:val="left"/>
      <w:pPr>
        <w:ind w:left="5040" w:hanging="360"/>
      </w:pPr>
    </w:lvl>
    <w:lvl w:ilvl="7" w:tplc="87FE8D42">
      <w:start w:val="1"/>
      <w:numFmt w:val="lowerLetter"/>
      <w:lvlText w:val="%8."/>
      <w:lvlJc w:val="left"/>
      <w:pPr>
        <w:ind w:left="5760" w:hanging="360"/>
      </w:pPr>
    </w:lvl>
    <w:lvl w:ilvl="8" w:tplc="7FBCED4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14C51"/>
    <w:multiLevelType w:val="multilevel"/>
    <w:tmpl w:val="DF44BA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2A6"/>
    <w:rsid w:val="00F11A64"/>
    <w:rsid w:val="00F30E53"/>
    <w:rsid w:val="00FB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styleId="ac">
    <w:name w:val="Table Grid"/>
    <w:basedOn w:val="a1"/>
    <w:uiPriority w:val="59"/>
    <w:pPr>
      <w:spacing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11">
    <w:name w:val="toc 1"/>
    <w:basedOn w:val="a"/>
    <w:next w:val="a"/>
    <w:uiPriority w:val="39"/>
    <w:unhideWhenUsed/>
    <w:qFormat/>
    <w:pPr>
      <w:widowControl w:val="0"/>
      <w:tabs>
        <w:tab w:val="left" w:pos="1276"/>
        <w:tab w:val="right" w:leader="dot" w:pos="9639"/>
      </w:tabs>
      <w:spacing w:line="360" w:lineRule="auto"/>
    </w:pPr>
    <w:rPr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 w:val="0"/>
      <w:tabs>
        <w:tab w:val="left" w:pos="880"/>
        <w:tab w:val="left" w:pos="1320"/>
        <w:tab w:val="right" w:leader="dot" w:pos="9628"/>
      </w:tabs>
      <w:spacing w:line="360" w:lineRule="auto"/>
    </w:pPr>
    <w:rPr>
      <w:sz w:val="28"/>
      <w:szCs w:val="20"/>
    </w:rPr>
  </w:style>
  <w:style w:type="paragraph" w:styleId="af2">
    <w:name w:val="Normal (Web)"/>
    <w:basedOn w:val="a"/>
    <w:link w:val="af3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3">
    <w:name w:val="Обычный (веб) Знак"/>
    <w:link w:val="af2"/>
    <w:rPr>
      <w:rFonts w:eastAsia="Times New Roman" w:cs="Times New Roman"/>
      <w:szCs w:val="24"/>
      <w:lang w:val="en-US" w:eastAsia="nl-NL"/>
    </w:rPr>
  </w:style>
  <w:style w:type="paragraph" w:styleId="af4">
    <w:name w:val="foot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Pr>
      <w:rFonts w:eastAsia="Times New Roman" w:cs="Times New Roman"/>
      <w:sz w:val="20"/>
      <w:szCs w:val="20"/>
      <w:lang w:val="en-US"/>
    </w:rPr>
  </w:style>
  <w:style w:type="character" w:styleId="af6">
    <w:name w:val="footnote reference"/>
    <w:uiPriority w:val="99"/>
    <w:qFormat/>
    <w:rPr>
      <w:rFonts w:cs="Times New Roman"/>
      <w:vertAlign w:val="superscript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link w:val="af8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8">
    <w:name w:val="Абзац списка Знак"/>
    <w:link w:val="12"/>
    <w:uiPriority w:val="99"/>
    <w:qFormat/>
    <w:rPr>
      <w:rFonts w:eastAsia="Times New Roman" w:cs="Times New Roman"/>
      <w:szCs w:val="24"/>
    </w:rPr>
  </w:style>
  <w:style w:type="character" w:styleId="af9">
    <w:name w:val="Emphasis"/>
    <w:qFormat/>
    <w:rPr>
      <w:rFonts w:cs="Times New Roman"/>
      <w:i/>
    </w:rPr>
  </w:style>
  <w:style w:type="paragraph" w:styleId="afa">
    <w:name w:val="Subtitle"/>
    <w:basedOn w:val="a"/>
    <w:next w:val="a"/>
    <w:link w:val="afb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="Calibri Light" w:eastAsia="Times New Roman" w:hAnsi="Calibri Light" w:cs="Times New Roman"/>
      <w:szCs w:val="24"/>
    </w:rPr>
  </w:style>
  <w:style w:type="paragraph" w:styleId="afc">
    <w:name w:val="No Spacing"/>
    <w:link w:val="afd"/>
    <w:uiPriority w:val="99"/>
    <w:qFormat/>
    <w:pPr>
      <w:spacing w:line="240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d">
    <w:name w:val="Без интервала Знак"/>
    <w:link w:val="afc"/>
    <w:uiPriority w:val="99"/>
    <w:rPr>
      <w:rFonts w:ascii="Calibri" w:eastAsia="Times New Roman" w:hAnsi="Calibri" w:cs="Times New Roman"/>
      <w:sz w:val="22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"/>
    <w:uiPriority w:val="99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styleId="ac">
    <w:name w:val="Table Grid"/>
    <w:basedOn w:val="a1"/>
    <w:uiPriority w:val="59"/>
    <w:pPr>
      <w:spacing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11">
    <w:name w:val="toc 1"/>
    <w:basedOn w:val="a"/>
    <w:next w:val="a"/>
    <w:uiPriority w:val="39"/>
    <w:unhideWhenUsed/>
    <w:qFormat/>
    <w:pPr>
      <w:widowControl w:val="0"/>
      <w:tabs>
        <w:tab w:val="left" w:pos="1276"/>
        <w:tab w:val="right" w:leader="dot" w:pos="9639"/>
      </w:tabs>
      <w:spacing w:line="360" w:lineRule="auto"/>
    </w:pPr>
    <w:rPr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 w:val="0"/>
      <w:tabs>
        <w:tab w:val="left" w:pos="880"/>
        <w:tab w:val="left" w:pos="1320"/>
        <w:tab w:val="right" w:leader="dot" w:pos="9628"/>
      </w:tabs>
      <w:spacing w:line="360" w:lineRule="auto"/>
    </w:pPr>
    <w:rPr>
      <w:sz w:val="28"/>
      <w:szCs w:val="20"/>
    </w:rPr>
  </w:style>
  <w:style w:type="paragraph" w:styleId="af2">
    <w:name w:val="Normal (Web)"/>
    <w:basedOn w:val="a"/>
    <w:link w:val="af3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3">
    <w:name w:val="Обычный (веб) Знак"/>
    <w:link w:val="af2"/>
    <w:rPr>
      <w:rFonts w:eastAsia="Times New Roman" w:cs="Times New Roman"/>
      <w:szCs w:val="24"/>
      <w:lang w:val="en-US" w:eastAsia="nl-NL"/>
    </w:rPr>
  </w:style>
  <w:style w:type="paragraph" w:styleId="af4">
    <w:name w:val="foot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Pr>
      <w:rFonts w:eastAsia="Times New Roman" w:cs="Times New Roman"/>
      <w:sz w:val="20"/>
      <w:szCs w:val="20"/>
      <w:lang w:val="en-US"/>
    </w:rPr>
  </w:style>
  <w:style w:type="character" w:styleId="af6">
    <w:name w:val="footnote reference"/>
    <w:uiPriority w:val="99"/>
    <w:qFormat/>
    <w:rPr>
      <w:rFonts w:cs="Times New Roman"/>
      <w:vertAlign w:val="superscript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link w:val="af8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8">
    <w:name w:val="Абзац списка Знак"/>
    <w:link w:val="12"/>
    <w:uiPriority w:val="99"/>
    <w:qFormat/>
    <w:rPr>
      <w:rFonts w:eastAsia="Times New Roman" w:cs="Times New Roman"/>
      <w:szCs w:val="24"/>
    </w:rPr>
  </w:style>
  <w:style w:type="character" w:styleId="af9">
    <w:name w:val="Emphasis"/>
    <w:qFormat/>
    <w:rPr>
      <w:rFonts w:cs="Times New Roman"/>
      <w:i/>
    </w:rPr>
  </w:style>
  <w:style w:type="paragraph" w:styleId="afa">
    <w:name w:val="Subtitle"/>
    <w:basedOn w:val="a"/>
    <w:next w:val="a"/>
    <w:link w:val="afb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="Calibri Light" w:eastAsia="Times New Roman" w:hAnsi="Calibri Light" w:cs="Times New Roman"/>
      <w:szCs w:val="24"/>
    </w:rPr>
  </w:style>
  <w:style w:type="paragraph" w:styleId="afc">
    <w:name w:val="No Spacing"/>
    <w:link w:val="afd"/>
    <w:uiPriority w:val="99"/>
    <w:qFormat/>
    <w:pPr>
      <w:spacing w:line="240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d">
    <w:name w:val="Без интервала Знак"/>
    <w:link w:val="afc"/>
    <w:uiPriority w:val="99"/>
    <w:rPr>
      <w:rFonts w:ascii="Calibri" w:eastAsia="Times New Roman" w:hAnsi="Calibri" w:cs="Times New Roman"/>
      <w:sz w:val="22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"/>
    <w:uiPriority w:val="99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URL:https://book.ru/book/9336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2016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URL:https://book.ru/book/93678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2827</Words>
  <Characters>16117</Characters>
  <Application>Microsoft Office Word</Application>
  <DocSecurity>0</DocSecurity>
  <Lines>134</Lines>
  <Paragraphs>37</Paragraphs>
  <ScaleCrop>false</ScaleCrop>
  <Company/>
  <LinksUpToDate>false</LinksUpToDate>
  <CharactersWithSpaces>18907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2023-09-18T06:05:00Z</dcterms:created>
  <dcterms:modified xsi:type="dcterms:W3CDTF">2026-07-13T10:15:00Z</dcterms:modified>
</cp:coreProperties>
</file>